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6E3E" w14:textId="0684DA81" w:rsidR="00AC69E1" w:rsidRDefault="00AC69E1" w:rsidP="00707420">
      <w:pPr>
        <w:jc w:val="right"/>
        <w:rPr>
          <w:rFonts w:ascii="Poppins" w:hAnsi="Poppins" w:cs="Poppins"/>
          <w:b/>
          <w:bCs/>
          <w:sz w:val="20"/>
          <w:szCs w:val="20"/>
        </w:rPr>
      </w:pPr>
      <w:r>
        <w:rPr>
          <w:rFonts w:ascii="Poppins" w:hAnsi="Poppins" w:cs="Poppins"/>
          <w:b/>
          <w:bCs/>
          <w:sz w:val="20"/>
          <w:szCs w:val="20"/>
        </w:rPr>
        <w:t xml:space="preserve">Warszawa, </w:t>
      </w:r>
      <w:r w:rsidR="00EC167B">
        <w:rPr>
          <w:rFonts w:ascii="Poppins" w:hAnsi="Poppins" w:cs="Poppins"/>
          <w:b/>
          <w:bCs/>
          <w:sz w:val="20"/>
          <w:szCs w:val="20"/>
        </w:rPr>
        <w:t>1</w:t>
      </w:r>
      <w:r w:rsidR="001B40EF">
        <w:rPr>
          <w:rFonts w:ascii="Poppins" w:hAnsi="Poppins" w:cs="Poppins"/>
          <w:b/>
          <w:bCs/>
          <w:sz w:val="20"/>
          <w:szCs w:val="20"/>
        </w:rPr>
        <w:t>2</w:t>
      </w:r>
      <w:r>
        <w:rPr>
          <w:rFonts w:ascii="Poppins" w:hAnsi="Poppins" w:cs="Poppins"/>
          <w:b/>
          <w:bCs/>
          <w:sz w:val="20"/>
          <w:szCs w:val="20"/>
        </w:rPr>
        <w:t>.07.2023 r.</w:t>
      </w:r>
    </w:p>
    <w:p w14:paraId="427E1844" w14:textId="77777777" w:rsidR="00AC69E1" w:rsidRDefault="00AC69E1" w:rsidP="00707420">
      <w:pPr>
        <w:jc w:val="both"/>
        <w:rPr>
          <w:rFonts w:ascii="Poppins" w:hAnsi="Poppins" w:cs="Poppins"/>
          <w:b/>
          <w:bCs/>
          <w:sz w:val="20"/>
          <w:szCs w:val="20"/>
        </w:rPr>
      </w:pPr>
      <w:r w:rsidRPr="00765947">
        <w:rPr>
          <w:rFonts w:ascii="Poppins" w:hAnsi="Poppins" w:cs="Poppins"/>
          <w:b/>
          <w:bCs/>
          <w:sz w:val="20"/>
          <w:szCs w:val="20"/>
        </w:rPr>
        <w:t>Autor: Marek Wielgo, ekspert portali RynekPierwotny.pl i GetHome.pl</w:t>
      </w:r>
    </w:p>
    <w:p w14:paraId="046DD218" w14:textId="6543D45A" w:rsidR="00D75392" w:rsidRPr="00D75392" w:rsidRDefault="007F0933" w:rsidP="00707420">
      <w:pPr>
        <w:jc w:val="center"/>
        <w:rPr>
          <w:rFonts w:ascii="Poppins" w:hAnsi="Poppins" w:cs="Poppins"/>
          <w:b/>
          <w:bCs/>
          <w:sz w:val="40"/>
          <w:szCs w:val="40"/>
        </w:rPr>
      </w:pPr>
      <w:r>
        <w:rPr>
          <w:rFonts w:ascii="Poppins" w:hAnsi="Poppins" w:cs="Poppins"/>
          <w:b/>
          <w:bCs/>
          <w:sz w:val="40"/>
          <w:szCs w:val="40"/>
        </w:rPr>
        <w:t>Deweloperzy wprowadzili w II kwartale więcej mieszkań, ale to wciąż za mało</w:t>
      </w:r>
    </w:p>
    <w:p w14:paraId="501C656F" w14:textId="5EE4D35E" w:rsidR="00EC167B" w:rsidRPr="00EC167B" w:rsidRDefault="00EC167B" w:rsidP="00707420">
      <w:pPr>
        <w:jc w:val="both"/>
        <w:rPr>
          <w:rFonts w:ascii="Poppins" w:hAnsi="Poppins" w:cs="Poppins"/>
          <w:b/>
          <w:bCs/>
          <w:sz w:val="21"/>
          <w:szCs w:val="21"/>
        </w:rPr>
      </w:pPr>
      <w:r w:rsidRPr="00EC167B">
        <w:rPr>
          <w:rFonts w:ascii="Poppins" w:hAnsi="Poppins" w:cs="Poppins"/>
          <w:b/>
          <w:bCs/>
          <w:sz w:val="21"/>
          <w:szCs w:val="21"/>
        </w:rPr>
        <w:t>Popyt na nowe mieszkania eksplodował w pierwszym kwartale tego roku. Drugi, choć również dobry dla firm deweloperskich, był pod tym względem nieco słabszy. Być może to dlatego wciąż oszczędnie dawkowały one podaż, adresując ją głównie do zamożnych klientów. W efekcie skurczyła się oferta mieszkań, a ich ceny kontynuowały marsz w górę.</w:t>
      </w:r>
    </w:p>
    <w:p w14:paraId="1FE49A96" w14:textId="67DEEB66" w:rsidR="009B24E2" w:rsidRPr="0027329D" w:rsidRDefault="00B431C7" w:rsidP="00707420">
      <w:pPr>
        <w:jc w:val="both"/>
        <w:rPr>
          <w:rFonts w:ascii="Poppins" w:hAnsi="Poppins" w:cs="Poppins"/>
          <w:sz w:val="21"/>
          <w:szCs w:val="21"/>
        </w:rPr>
      </w:pPr>
      <w:r>
        <w:rPr>
          <w:rFonts w:ascii="Poppins" w:hAnsi="Poppins" w:cs="Poppins"/>
          <w:sz w:val="21"/>
          <w:szCs w:val="21"/>
        </w:rPr>
        <w:t>W okresie od kwietnia do czerwca br.</w:t>
      </w:r>
      <w:r w:rsidR="0027329D" w:rsidRPr="0027329D">
        <w:rPr>
          <w:rFonts w:ascii="Poppins" w:hAnsi="Poppins" w:cs="Poppins"/>
          <w:sz w:val="21"/>
          <w:szCs w:val="21"/>
        </w:rPr>
        <w:t xml:space="preserve"> liczba zawieranych umów deweloperskich w 10 największych metropoliach skurczyła się o 15%</w:t>
      </w:r>
      <w:r w:rsidR="00707420">
        <w:rPr>
          <w:rFonts w:ascii="Poppins" w:hAnsi="Poppins" w:cs="Poppins"/>
          <w:sz w:val="21"/>
          <w:szCs w:val="21"/>
        </w:rPr>
        <w:t>.</w:t>
      </w:r>
      <w:r w:rsidR="0027329D" w:rsidRPr="0027329D">
        <w:rPr>
          <w:rFonts w:ascii="Poppins" w:hAnsi="Poppins" w:cs="Poppins"/>
          <w:sz w:val="21"/>
          <w:szCs w:val="21"/>
        </w:rPr>
        <w:t xml:space="preserve"> </w:t>
      </w:r>
      <w:r w:rsidR="00565635">
        <w:rPr>
          <w:rFonts w:ascii="Poppins" w:hAnsi="Poppins" w:cs="Poppins"/>
          <w:sz w:val="21"/>
          <w:szCs w:val="21"/>
        </w:rPr>
        <w:t>Warto jednak zwrócić</w:t>
      </w:r>
      <w:r w:rsidR="009B24E2">
        <w:rPr>
          <w:rFonts w:ascii="Poppins" w:hAnsi="Poppins" w:cs="Poppins"/>
          <w:sz w:val="21"/>
          <w:szCs w:val="21"/>
        </w:rPr>
        <w:t xml:space="preserve"> uwagę</w:t>
      </w:r>
      <w:r w:rsidR="0027329D" w:rsidRPr="0027329D">
        <w:rPr>
          <w:rFonts w:ascii="Poppins" w:hAnsi="Poppins" w:cs="Poppins"/>
          <w:sz w:val="21"/>
          <w:szCs w:val="21"/>
        </w:rPr>
        <w:t xml:space="preserve">, że </w:t>
      </w:r>
      <w:r w:rsidR="009B24E2">
        <w:rPr>
          <w:rFonts w:ascii="Poppins" w:hAnsi="Poppins" w:cs="Poppins"/>
          <w:sz w:val="21"/>
          <w:szCs w:val="21"/>
        </w:rPr>
        <w:t xml:space="preserve">w całym kraju łączne wyniki sprzedażowe 200 największych firm deweloperskich były w drugim kwartale o 5% lepsze. Gdyby zaś wziąć pod uwagę TOP 20 takich firm, to wynik byłby lepszy o 21%. </w:t>
      </w:r>
      <w:r w:rsidR="00565635" w:rsidRPr="0027329D">
        <w:rPr>
          <w:rFonts w:ascii="Poppins" w:hAnsi="Poppins" w:cs="Poppins"/>
          <w:sz w:val="21"/>
          <w:szCs w:val="21"/>
        </w:rPr>
        <w:t>Równocześnie wzrosła liczba rezerwacji.</w:t>
      </w:r>
      <w:r w:rsidR="009B24E2">
        <w:rPr>
          <w:rFonts w:ascii="Poppins" w:hAnsi="Poppins" w:cs="Poppins"/>
          <w:sz w:val="21"/>
          <w:szCs w:val="21"/>
        </w:rPr>
        <w:t xml:space="preserve"> Oznacza to, że na spadek sprzedaży w II kw</w:t>
      </w:r>
      <w:r w:rsidR="00565635">
        <w:rPr>
          <w:rFonts w:ascii="Poppins" w:hAnsi="Poppins" w:cs="Poppins"/>
          <w:sz w:val="21"/>
          <w:szCs w:val="21"/>
        </w:rPr>
        <w:t>artale</w:t>
      </w:r>
      <w:r w:rsidR="009B24E2">
        <w:rPr>
          <w:rFonts w:ascii="Poppins" w:hAnsi="Poppins" w:cs="Poppins"/>
          <w:sz w:val="21"/>
          <w:szCs w:val="21"/>
        </w:rPr>
        <w:t xml:space="preserve"> miały wpływ wyniki mniejszych deweloperów. </w:t>
      </w:r>
    </w:p>
    <w:p w14:paraId="74514F73" w14:textId="482D6083" w:rsidR="0027329D" w:rsidRPr="0027329D" w:rsidRDefault="007F0933" w:rsidP="00707420">
      <w:pPr>
        <w:jc w:val="both"/>
        <w:rPr>
          <w:rFonts w:ascii="Poppins" w:hAnsi="Poppins" w:cs="Poppins"/>
          <w:sz w:val="21"/>
          <w:szCs w:val="21"/>
        </w:rPr>
      </w:pPr>
      <w:r>
        <w:rPr>
          <w:rStyle w:val="Pogrubienie"/>
          <w:rFonts w:ascii="Poppins" w:hAnsi="Poppins" w:cs="Poppins"/>
          <w:b w:val="0"/>
          <w:bCs w:val="0"/>
          <w:sz w:val="21"/>
          <w:szCs w:val="21"/>
          <w:shd w:val="clear" w:color="auto" w:fill="FFFFFF"/>
        </w:rPr>
        <w:t>Mimo to</w:t>
      </w:r>
      <w:r w:rsidR="00206490">
        <w:rPr>
          <w:rStyle w:val="Pogrubienie"/>
          <w:rFonts w:ascii="Poppins" w:hAnsi="Poppins" w:cs="Poppins"/>
          <w:b w:val="0"/>
          <w:bCs w:val="0"/>
          <w:sz w:val="21"/>
          <w:szCs w:val="21"/>
          <w:shd w:val="clear" w:color="auto" w:fill="FFFFFF"/>
        </w:rPr>
        <w:t xml:space="preserve"> f</w:t>
      </w:r>
      <w:r w:rsidR="0027329D" w:rsidRPr="0027329D">
        <w:rPr>
          <w:rStyle w:val="Pogrubienie"/>
          <w:rFonts w:ascii="Poppins" w:hAnsi="Poppins" w:cs="Poppins"/>
          <w:b w:val="0"/>
          <w:bCs w:val="0"/>
          <w:sz w:val="21"/>
          <w:szCs w:val="21"/>
          <w:shd w:val="clear" w:color="auto" w:fill="FFFFFF"/>
        </w:rPr>
        <w:t xml:space="preserve">irmy deweloperskie mogły mieć wątpliwości, czy uda im się utrzymać wysokie tempo sprzedaży mieszkań </w:t>
      </w:r>
      <w:r w:rsidR="00B431C7">
        <w:rPr>
          <w:rStyle w:val="Pogrubienie"/>
          <w:rFonts w:ascii="Poppins" w:hAnsi="Poppins" w:cs="Poppins"/>
          <w:b w:val="0"/>
          <w:bCs w:val="0"/>
          <w:sz w:val="21"/>
          <w:szCs w:val="21"/>
          <w:shd w:val="clear" w:color="auto" w:fill="FFFFFF"/>
        </w:rPr>
        <w:t>z</w:t>
      </w:r>
      <w:r w:rsidR="0027329D" w:rsidRPr="0027329D">
        <w:rPr>
          <w:rStyle w:val="Pogrubienie"/>
          <w:rFonts w:ascii="Poppins" w:hAnsi="Poppins" w:cs="Poppins"/>
          <w:b w:val="0"/>
          <w:bCs w:val="0"/>
          <w:sz w:val="21"/>
          <w:szCs w:val="21"/>
          <w:shd w:val="clear" w:color="auto" w:fill="FFFFFF"/>
        </w:rPr>
        <w:t xml:space="preserve"> I kw</w:t>
      </w:r>
      <w:r w:rsidR="00206490">
        <w:rPr>
          <w:rStyle w:val="Pogrubienie"/>
          <w:rFonts w:ascii="Poppins" w:hAnsi="Poppins" w:cs="Poppins"/>
          <w:b w:val="0"/>
          <w:bCs w:val="0"/>
          <w:sz w:val="21"/>
          <w:szCs w:val="21"/>
          <w:shd w:val="clear" w:color="auto" w:fill="FFFFFF"/>
        </w:rPr>
        <w:t>arta</w:t>
      </w:r>
      <w:r w:rsidR="00B431C7">
        <w:rPr>
          <w:rStyle w:val="Pogrubienie"/>
          <w:rFonts w:ascii="Poppins" w:hAnsi="Poppins" w:cs="Poppins"/>
          <w:b w:val="0"/>
          <w:bCs w:val="0"/>
          <w:sz w:val="21"/>
          <w:szCs w:val="21"/>
          <w:shd w:val="clear" w:color="auto" w:fill="FFFFFF"/>
        </w:rPr>
        <w:t>łu</w:t>
      </w:r>
      <w:r w:rsidR="0027329D" w:rsidRPr="0027329D">
        <w:rPr>
          <w:rStyle w:val="Pogrubienie"/>
          <w:rFonts w:ascii="Poppins" w:hAnsi="Poppins" w:cs="Poppins"/>
          <w:b w:val="0"/>
          <w:bCs w:val="0"/>
          <w:sz w:val="21"/>
          <w:szCs w:val="21"/>
          <w:shd w:val="clear" w:color="auto" w:fill="FFFFFF"/>
        </w:rPr>
        <w:t>.</w:t>
      </w:r>
      <w:r w:rsidR="0027329D" w:rsidRPr="0027329D">
        <w:rPr>
          <w:rStyle w:val="Pogrubienie"/>
          <w:rFonts w:ascii="Poppins" w:hAnsi="Poppins" w:cs="Poppins"/>
          <w:sz w:val="21"/>
          <w:szCs w:val="21"/>
          <w:shd w:val="clear" w:color="auto" w:fill="FFFFFF"/>
        </w:rPr>
        <w:t xml:space="preserve"> </w:t>
      </w:r>
      <w:r w:rsidR="009E0724" w:rsidRPr="009E0724">
        <w:rPr>
          <w:rStyle w:val="Pogrubienie"/>
          <w:rFonts w:ascii="Poppins" w:hAnsi="Poppins" w:cs="Poppins"/>
          <w:b w:val="0"/>
          <w:bCs w:val="0"/>
          <w:sz w:val="21"/>
          <w:szCs w:val="21"/>
          <w:shd w:val="clear" w:color="auto" w:fill="FFFFFF"/>
        </w:rPr>
        <w:t>P</w:t>
      </w:r>
      <w:r w:rsidR="0027329D" w:rsidRPr="0027329D">
        <w:rPr>
          <w:rFonts w:ascii="Poppins" w:hAnsi="Poppins" w:cs="Poppins"/>
          <w:sz w:val="21"/>
          <w:szCs w:val="21"/>
        </w:rPr>
        <w:t>erspektywa ożywienia popytu na skutek uruchomienia programu „Bezpieczny Kredyt 2%”</w:t>
      </w:r>
      <w:r w:rsidR="009E0724">
        <w:rPr>
          <w:rFonts w:ascii="Poppins" w:hAnsi="Poppins" w:cs="Poppins"/>
          <w:sz w:val="21"/>
          <w:szCs w:val="21"/>
        </w:rPr>
        <w:t xml:space="preserve"> spowodowała, że</w:t>
      </w:r>
      <w:r w:rsidR="0027329D" w:rsidRPr="0027329D">
        <w:rPr>
          <w:rFonts w:ascii="Poppins" w:hAnsi="Poppins" w:cs="Poppins"/>
          <w:sz w:val="21"/>
          <w:szCs w:val="21"/>
        </w:rPr>
        <w:t xml:space="preserve"> </w:t>
      </w:r>
      <w:r w:rsidR="009E0724">
        <w:rPr>
          <w:rFonts w:ascii="Poppins" w:hAnsi="Poppins" w:cs="Poppins"/>
          <w:sz w:val="21"/>
          <w:szCs w:val="21"/>
        </w:rPr>
        <w:t>w</w:t>
      </w:r>
      <w:r w:rsidR="0027329D" w:rsidRPr="0027329D">
        <w:rPr>
          <w:rFonts w:ascii="Poppins" w:hAnsi="Poppins" w:cs="Poppins"/>
          <w:sz w:val="21"/>
          <w:szCs w:val="21"/>
        </w:rPr>
        <w:t xml:space="preserve">ielu deweloperów zdecydowało się </w:t>
      </w:r>
      <w:r w:rsidR="009E0724">
        <w:rPr>
          <w:rFonts w:ascii="Poppins" w:hAnsi="Poppins" w:cs="Poppins"/>
          <w:sz w:val="21"/>
          <w:szCs w:val="21"/>
        </w:rPr>
        <w:t xml:space="preserve">jednak </w:t>
      </w:r>
      <w:r w:rsidR="0027329D" w:rsidRPr="0027329D">
        <w:rPr>
          <w:rFonts w:ascii="Poppins" w:hAnsi="Poppins" w:cs="Poppins"/>
          <w:sz w:val="21"/>
          <w:szCs w:val="21"/>
        </w:rPr>
        <w:t xml:space="preserve">na </w:t>
      </w:r>
      <w:r w:rsidR="0027329D" w:rsidRPr="0027329D">
        <w:rPr>
          <w:rStyle w:val="Pogrubienie"/>
          <w:rFonts w:ascii="Poppins" w:hAnsi="Poppins" w:cs="Poppins"/>
          <w:b w:val="0"/>
          <w:bCs w:val="0"/>
          <w:sz w:val="21"/>
          <w:szCs w:val="21"/>
          <w:shd w:val="clear" w:color="auto" w:fill="FFFFFF"/>
        </w:rPr>
        <w:t>rozpoczęcie zamrożonych inwestycji.</w:t>
      </w:r>
      <w:r w:rsidR="0027329D" w:rsidRPr="0027329D">
        <w:rPr>
          <w:rStyle w:val="Pogrubienie"/>
          <w:rFonts w:ascii="Poppins" w:hAnsi="Poppins" w:cs="Poppins"/>
          <w:sz w:val="21"/>
          <w:szCs w:val="21"/>
          <w:shd w:val="clear" w:color="auto" w:fill="FFFFFF"/>
        </w:rPr>
        <w:t xml:space="preserve"> </w:t>
      </w:r>
      <w:r w:rsidR="0027329D" w:rsidRPr="0027329D">
        <w:rPr>
          <w:rFonts w:ascii="Poppins" w:hAnsi="Poppins" w:cs="Poppins"/>
          <w:sz w:val="21"/>
          <w:szCs w:val="21"/>
        </w:rPr>
        <w:t>W 10 analizowanych metropoliach wprowadzili oni na rynek łącznie ponad 10,4 tys. lokali, czyli o 25% więcej niż w I kw</w:t>
      </w:r>
      <w:r w:rsidR="009C27F3">
        <w:rPr>
          <w:rFonts w:ascii="Poppins" w:hAnsi="Poppins" w:cs="Poppins"/>
          <w:sz w:val="21"/>
          <w:szCs w:val="21"/>
        </w:rPr>
        <w:t>artale</w:t>
      </w:r>
      <w:r w:rsidR="0027329D" w:rsidRPr="0027329D">
        <w:rPr>
          <w:rFonts w:ascii="Poppins" w:hAnsi="Poppins" w:cs="Poppins"/>
          <w:sz w:val="21"/>
          <w:szCs w:val="21"/>
        </w:rPr>
        <w:t xml:space="preserve">.  Jednak w porównaniu z analogicznym okresem ubiegłego roku nowa podaż była mniejsza aż o 32%. </w:t>
      </w:r>
    </w:p>
    <w:p w14:paraId="6E61DBF2" w14:textId="77777777" w:rsidR="0027329D" w:rsidRPr="0027329D" w:rsidRDefault="0027329D" w:rsidP="00206490">
      <w:pPr>
        <w:jc w:val="center"/>
        <w:rPr>
          <w:rStyle w:val="Pogrubienie"/>
          <w:rFonts w:ascii="Poppins" w:hAnsi="Poppins" w:cs="Poppins"/>
          <w:b w:val="0"/>
          <w:bCs w:val="0"/>
          <w:sz w:val="21"/>
          <w:szCs w:val="21"/>
          <w:shd w:val="clear" w:color="auto" w:fill="FFFFFF"/>
        </w:rPr>
      </w:pPr>
      <w:r w:rsidRPr="0027329D">
        <w:rPr>
          <w:rFonts w:ascii="Poppins" w:hAnsi="Poppins" w:cs="Poppins"/>
          <w:noProof/>
          <w:sz w:val="21"/>
          <w:szCs w:val="21"/>
        </w:rPr>
        <w:drawing>
          <wp:inline distT="0" distB="0" distL="0" distR="0" wp14:anchorId="1626D22F" wp14:editId="2024C892">
            <wp:extent cx="5833421" cy="3209925"/>
            <wp:effectExtent l="0" t="0" r="0" b="0"/>
            <wp:docPr id="16233591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3960" cy="3221227"/>
                    </a:xfrm>
                    <a:prstGeom prst="rect">
                      <a:avLst/>
                    </a:prstGeom>
                    <a:noFill/>
                    <a:ln>
                      <a:noFill/>
                    </a:ln>
                  </pic:spPr>
                </pic:pic>
              </a:graphicData>
            </a:graphic>
          </wp:inline>
        </w:drawing>
      </w:r>
    </w:p>
    <w:p w14:paraId="57974CB6" w14:textId="21A4E090" w:rsidR="0027329D" w:rsidRPr="0027329D" w:rsidRDefault="0027329D" w:rsidP="00946FB3">
      <w:pPr>
        <w:spacing w:after="0" w:line="240" w:lineRule="auto"/>
        <w:jc w:val="both"/>
        <w:rPr>
          <w:rFonts w:ascii="Poppins" w:hAnsi="Poppins" w:cs="Poppins"/>
          <w:sz w:val="21"/>
          <w:szCs w:val="21"/>
        </w:rPr>
      </w:pPr>
      <w:r w:rsidRPr="0027329D">
        <w:rPr>
          <w:rFonts w:ascii="Poppins" w:hAnsi="Poppins" w:cs="Poppins"/>
          <w:sz w:val="21"/>
          <w:szCs w:val="21"/>
        </w:rPr>
        <w:lastRenderedPageBreak/>
        <w:t xml:space="preserve">Co gorsza, </w:t>
      </w:r>
      <w:bookmarkStart w:id="0" w:name="_Hlk132295315"/>
      <w:r w:rsidRPr="0027329D">
        <w:rPr>
          <w:rFonts w:ascii="Poppins" w:hAnsi="Poppins" w:cs="Poppins"/>
          <w:sz w:val="21"/>
          <w:szCs w:val="21"/>
        </w:rPr>
        <w:t xml:space="preserve">z danych </w:t>
      </w:r>
      <w:hyperlink r:id="rId9" w:history="1">
        <w:r w:rsidRPr="00E031C5">
          <w:rPr>
            <w:rStyle w:val="Hipercze"/>
            <w:rFonts w:ascii="Poppins" w:hAnsi="Poppins" w:cs="Poppins"/>
            <w:sz w:val="21"/>
            <w:szCs w:val="21"/>
          </w:rPr>
          <w:t>BIG DATA RynekPierwotny.pl</w:t>
        </w:r>
      </w:hyperlink>
      <w:r w:rsidRPr="0027329D">
        <w:rPr>
          <w:rFonts w:ascii="Poppins" w:hAnsi="Poppins" w:cs="Poppins"/>
          <w:sz w:val="21"/>
          <w:szCs w:val="21"/>
        </w:rPr>
        <w:t xml:space="preserve"> wynika, że niemal we wszystkich metropoliach (wyjątkiem była Łódź) liczba mieszkań wprowadzonych na rynek była dużo mniejsza niż sprzedanych. Niepokoić może szczególnie sytuacja w Warszawie, Krakowie i Trójmieście, gdzie taki stan rzeczy utrzymuje się już od początku tego roku.</w:t>
      </w:r>
    </w:p>
    <w:p w14:paraId="6266C1CD" w14:textId="4C64D261" w:rsidR="0027329D" w:rsidRPr="0027329D" w:rsidRDefault="00B431C7" w:rsidP="00E30703">
      <w:pPr>
        <w:jc w:val="center"/>
        <w:rPr>
          <w:rStyle w:val="Pogrubienie"/>
          <w:rFonts w:ascii="Poppins" w:hAnsi="Poppins" w:cs="Poppins"/>
          <w:b w:val="0"/>
          <w:bCs w:val="0"/>
          <w:sz w:val="21"/>
          <w:szCs w:val="21"/>
          <w:shd w:val="clear" w:color="auto" w:fill="FFFFFF"/>
        </w:rPr>
      </w:pPr>
      <w:r>
        <w:rPr>
          <w:rFonts w:ascii="Poppins" w:hAnsi="Poppins" w:cs="Poppins"/>
          <w:noProof/>
          <w:sz w:val="21"/>
          <w:szCs w:val="21"/>
        </w:rPr>
        <w:drawing>
          <wp:inline distT="0" distB="0" distL="0" distR="0" wp14:anchorId="2CA05892" wp14:editId="6940AE26">
            <wp:extent cx="5724525" cy="3162041"/>
            <wp:effectExtent l="0" t="0" r="0" b="635"/>
            <wp:docPr id="18321854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9256" cy="3164654"/>
                    </a:xfrm>
                    <a:prstGeom prst="rect">
                      <a:avLst/>
                    </a:prstGeom>
                    <a:noFill/>
                    <a:ln>
                      <a:noFill/>
                    </a:ln>
                  </pic:spPr>
                </pic:pic>
              </a:graphicData>
            </a:graphic>
          </wp:inline>
        </w:drawing>
      </w:r>
    </w:p>
    <w:bookmarkEnd w:id="0"/>
    <w:p w14:paraId="1B25AD97" w14:textId="09AAB820" w:rsidR="0027329D" w:rsidRPr="0027329D" w:rsidRDefault="0027329D" w:rsidP="00707420">
      <w:pPr>
        <w:jc w:val="both"/>
        <w:rPr>
          <w:rFonts w:ascii="Poppins" w:hAnsi="Poppins" w:cs="Poppins"/>
          <w:sz w:val="21"/>
          <w:szCs w:val="21"/>
        </w:rPr>
      </w:pPr>
      <w:r w:rsidRPr="0027329D">
        <w:rPr>
          <w:rFonts w:ascii="Poppins" w:hAnsi="Poppins" w:cs="Poppins"/>
          <w:sz w:val="21"/>
          <w:szCs w:val="21"/>
        </w:rPr>
        <w:t xml:space="preserve">W efekcie dramatycznie kurczy się tam oferta nowych mieszkań. Z </w:t>
      </w:r>
      <w:r w:rsidRPr="0027329D">
        <w:rPr>
          <w:rStyle w:val="Pogrubienie"/>
          <w:rFonts w:ascii="Poppins" w:hAnsi="Poppins" w:cs="Poppins"/>
          <w:b w:val="0"/>
          <w:bCs w:val="0"/>
          <w:sz w:val="21"/>
          <w:szCs w:val="21"/>
          <w:shd w:val="clear" w:color="auto" w:fill="FFFFFF"/>
        </w:rPr>
        <w:t>danych BIG DATA RynekPierwotny.pl wynika, że w</w:t>
      </w:r>
      <w:r w:rsidRPr="0027329D">
        <w:rPr>
          <w:rFonts w:ascii="Poppins" w:hAnsi="Poppins" w:cs="Poppins"/>
          <w:sz w:val="21"/>
          <w:szCs w:val="21"/>
        </w:rPr>
        <w:t xml:space="preserve"> ofercie krakowskich firm deweloperski</w:t>
      </w:r>
      <w:r w:rsidR="00CF702A">
        <w:rPr>
          <w:rFonts w:ascii="Poppins" w:hAnsi="Poppins" w:cs="Poppins"/>
          <w:sz w:val="21"/>
          <w:szCs w:val="21"/>
        </w:rPr>
        <w:t>ch</w:t>
      </w:r>
      <w:r w:rsidRPr="0027329D">
        <w:rPr>
          <w:rFonts w:ascii="Poppins" w:hAnsi="Poppins" w:cs="Poppins"/>
          <w:sz w:val="21"/>
          <w:szCs w:val="21"/>
        </w:rPr>
        <w:t xml:space="preserve"> było ich pod koniec czerwca aż o 28% mniej niż jeszcze sześć miesięcy temu. W stolicy oferta lokali skurczyła się w tym okresie o 23%, a w Trójmieście – o 18%.</w:t>
      </w:r>
    </w:p>
    <w:p w14:paraId="0F8144B6" w14:textId="3EDCDA56" w:rsidR="0027329D" w:rsidRPr="0027329D" w:rsidRDefault="00B431C7" w:rsidP="00E30703">
      <w:pPr>
        <w:jc w:val="center"/>
        <w:rPr>
          <w:rFonts w:ascii="Poppins" w:hAnsi="Poppins" w:cs="Poppins"/>
          <w:sz w:val="21"/>
          <w:szCs w:val="21"/>
        </w:rPr>
      </w:pPr>
      <w:r>
        <w:rPr>
          <w:rFonts w:ascii="Poppins" w:hAnsi="Poppins" w:cs="Poppins"/>
          <w:noProof/>
          <w:sz w:val="21"/>
          <w:szCs w:val="21"/>
        </w:rPr>
        <w:drawing>
          <wp:inline distT="0" distB="0" distL="0" distR="0" wp14:anchorId="5F581AAE" wp14:editId="6C276865">
            <wp:extent cx="6629400" cy="3686175"/>
            <wp:effectExtent l="0" t="0" r="0" b="9525"/>
            <wp:docPr id="155631036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686175"/>
                    </a:xfrm>
                    <a:prstGeom prst="rect">
                      <a:avLst/>
                    </a:prstGeom>
                    <a:noFill/>
                    <a:ln>
                      <a:noFill/>
                    </a:ln>
                  </pic:spPr>
                </pic:pic>
              </a:graphicData>
            </a:graphic>
          </wp:inline>
        </w:drawing>
      </w:r>
    </w:p>
    <w:p w14:paraId="6D35BF33" w14:textId="79D856E4" w:rsidR="0027329D" w:rsidRPr="0027329D" w:rsidRDefault="0027329D" w:rsidP="00707420">
      <w:pPr>
        <w:jc w:val="both"/>
        <w:rPr>
          <w:rFonts w:ascii="Poppins" w:hAnsi="Poppins" w:cs="Poppins"/>
          <w:sz w:val="21"/>
          <w:szCs w:val="21"/>
        </w:rPr>
      </w:pPr>
      <w:r w:rsidRPr="0027329D">
        <w:rPr>
          <w:rFonts w:ascii="Poppins" w:hAnsi="Poppins" w:cs="Poppins"/>
          <w:sz w:val="21"/>
          <w:szCs w:val="21"/>
        </w:rPr>
        <w:lastRenderedPageBreak/>
        <w:t xml:space="preserve">We wszystkich 10 metropoliach firmy deweloperskie oferowały pod koniec czerwca łącznie ok. 54,7 tys. lokali, czyli o 15% mniej niż w końcówce ubiegłego roku. </w:t>
      </w:r>
    </w:p>
    <w:p w14:paraId="41F4F380" w14:textId="7E1D4097" w:rsidR="0027329D" w:rsidRPr="0027329D" w:rsidRDefault="009E0724" w:rsidP="00CF702A">
      <w:pPr>
        <w:jc w:val="center"/>
        <w:rPr>
          <w:rFonts w:ascii="Poppins" w:hAnsi="Poppins" w:cs="Poppins"/>
          <w:noProof/>
          <w:sz w:val="21"/>
          <w:szCs w:val="21"/>
        </w:rPr>
      </w:pPr>
      <w:r>
        <w:rPr>
          <w:rFonts w:ascii="Poppins" w:hAnsi="Poppins" w:cs="Poppins"/>
          <w:noProof/>
          <w:sz w:val="21"/>
          <w:szCs w:val="21"/>
        </w:rPr>
        <w:drawing>
          <wp:inline distT="0" distB="0" distL="0" distR="0" wp14:anchorId="2009382C" wp14:editId="7FB92DC1">
            <wp:extent cx="6638925" cy="3667125"/>
            <wp:effectExtent l="0" t="0" r="9525" b="9525"/>
            <wp:docPr id="184978500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38925" cy="3667125"/>
                    </a:xfrm>
                    <a:prstGeom prst="rect">
                      <a:avLst/>
                    </a:prstGeom>
                    <a:noFill/>
                    <a:ln>
                      <a:noFill/>
                    </a:ln>
                  </pic:spPr>
                </pic:pic>
              </a:graphicData>
            </a:graphic>
          </wp:inline>
        </w:drawing>
      </w:r>
    </w:p>
    <w:p w14:paraId="6D2E4599" w14:textId="19E9835C" w:rsidR="0027329D" w:rsidRPr="0027329D" w:rsidRDefault="0027329D" w:rsidP="00707420">
      <w:pPr>
        <w:jc w:val="both"/>
        <w:rPr>
          <w:rFonts w:ascii="Poppins" w:hAnsi="Poppins" w:cs="Poppins"/>
          <w:sz w:val="21"/>
          <w:szCs w:val="21"/>
        </w:rPr>
      </w:pPr>
      <w:bookmarkStart w:id="1" w:name="_Hlk132295526"/>
      <w:r w:rsidRPr="0027329D">
        <w:rPr>
          <w:rFonts w:ascii="Poppins" w:hAnsi="Poppins" w:cs="Poppins"/>
          <w:sz w:val="21"/>
          <w:szCs w:val="21"/>
        </w:rPr>
        <w:t>Pojawiają się już nawet głosy, że na rynkach mieszkaniowych największych miast może powtórzyć się historia sprzed zaledwie dwóch lat, gdy wskutek niewystarczającej podaży nowych mieszkań gwałtownie wzrosły ich ceny. W części metropol</w:t>
      </w:r>
      <w:r w:rsidR="0001531E">
        <w:rPr>
          <w:rFonts w:ascii="Poppins" w:hAnsi="Poppins" w:cs="Poppins"/>
          <w:sz w:val="21"/>
          <w:szCs w:val="21"/>
        </w:rPr>
        <w:t>i</w:t>
      </w:r>
      <w:r w:rsidRPr="0027329D">
        <w:rPr>
          <w:rFonts w:ascii="Poppins" w:hAnsi="Poppins" w:cs="Poppins"/>
          <w:sz w:val="21"/>
          <w:szCs w:val="21"/>
        </w:rPr>
        <w:t>i, m.in. w Łodzi, Poznaniu czy Szczecinie taki scenariusz wydaje się na razie mało prawdopodobny. Deweloperzy wciąż dysponują bowiem zapasem mieszkań, na które uzyskali w ubiegłym roku pozwolenia na budowę, ale jeszcze jej nie zaczęli. Tegoroczne statystyki budowlane GUS oraz dane popytowo-podażowe z BIG DATA RynekPierwotny.pl mogą jednak budzić obawy zwłaszcza w przypadku Warszawy, Krakowa i Wrocławia. Jeśli tempo sprzedaży mieszkań wzrośnie tam jeszcze bardziej, to ich zapas w pozwoleniach na budowę uzyskanych w poprzednich latach szybko się wyczerpie.</w:t>
      </w:r>
    </w:p>
    <w:bookmarkEnd w:id="1"/>
    <w:p w14:paraId="24EB4D66" w14:textId="0FDC4D45" w:rsidR="0027329D" w:rsidRPr="0027329D" w:rsidRDefault="0027329D" w:rsidP="00707420">
      <w:pPr>
        <w:jc w:val="both"/>
        <w:rPr>
          <w:rFonts w:ascii="Poppins" w:hAnsi="Poppins" w:cs="Poppins"/>
          <w:noProof/>
          <w:sz w:val="21"/>
          <w:szCs w:val="21"/>
        </w:rPr>
      </w:pPr>
      <w:r w:rsidRPr="0027329D">
        <w:rPr>
          <w:rFonts w:ascii="Poppins" w:hAnsi="Poppins" w:cs="Poppins"/>
          <w:noProof/>
          <w:sz w:val="21"/>
          <w:szCs w:val="21"/>
        </w:rPr>
        <w:t>Być może jedną z przyczyn wstrzymywania inwestycji może być rosnący udział gotowych mieszkań i domów w ofercie deweloperów. Takie zjawisko zaobserwowa</w:t>
      </w:r>
      <w:r w:rsidR="00CF702A">
        <w:rPr>
          <w:rFonts w:ascii="Poppins" w:hAnsi="Poppins" w:cs="Poppins"/>
          <w:noProof/>
          <w:sz w:val="21"/>
          <w:szCs w:val="21"/>
        </w:rPr>
        <w:t>no</w:t>
      </w:r>
      <w:r w:rsidRPr="0027329D">
        <w:rPr>
          <w:rFonts w:ascii="Poppins" w:hAnsi="Poppins" w:cs="Poppins"/>
          <w:noProof/>
          <w:sz w:val="21"/>
          <w:szCs w:val="21"/>
        </w:rPr>
        <w:t xml:space="preserve"> niemal we wszystkich metropoliach. </w:t>
      </w:r>
    </w:p>
    <w:p w14:paraId="52078153" w14:textId="3079EA93" w:rsidR="00D75392" w:rsidRPr="0027329D" w:rsidRDefault="00D75392" w:rsidP="00707420">
      <w:pPr>
        <w:jc w:val="both"/>
        <w:rPr>
          <w:rFonts w:ascii="Poppins" w:hAnsi="Poppins" w:cs="Poppins"/>
          <w:b/>
          <w:bCs/>
          <w:sz w:val="21"/>
          <w:szCs w:val="21"/>
        </w:rPr>
      </w:pPr>
    </w:p>
    <w:sectPr w:rsidR="00D75392" w:rsidRPr="0027329D" w:rsidSect="00A547BE">
      <w:headerReference w:type="default" r:id="rId13"/>
      <w:pgSz w:w="11906" w:h="16838"/>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61DE" w14:textId="77777777" w:rsidR="00832DFE" w:rsidRDefault="00832DFE" w:rsidP="00E533BD">
      <w:pPr>
        <w:spacing w:after="0" w:line="240" w:lineRule="auto"/>
      </w:pPr>
      <w:r>
        <w:separator/>
      </w:r>
    </w:p>
  </w:endnote>
  <w:endnote w:type="continuationSeparator" w:id="0">
    <w:p w14:paraId="2B63CDDC" w14:textId="77777777" w:rsidR="00832DFE" w:rsidRDefault="00832DFE"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oppins">
    <w:altName w:val="Calibri"/>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9497" w14:textId="77777777" w:rsidR="00832DFE" w:rsidRDefault="00832DFE" w:rsidP="00E533BD">
      <w:pPr>
        <w:spacing w:after="0" w:line="240" w:lineRule="auto"/>
      </w:pPr>
      <w:r>
        <w:separator/>
      </w:r>
    </w:p>
  </w:footnote>
  <w:footnote w:type="continuationSeparator" w:id="0">
    <w:p w14:paraId="5FB54372" w14:textId="77777777" w:rsidR="00832DFE" w:rsidRDefault="00832DFE"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2F6"/>
    <w:multiLevelType w:val="hybridMultilevel"/>
    <w:tmpl w:val="8B5E1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84B6B"/>
    <w:multiLevelType w:val="hybridMultilevel"/>
    <w:tmpl w:val="50A4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247B3"/>
    <w:multiLevelType w:val="hybridMultilevel"/>
    <w:tmpl w:val="B94E57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26AD3"/>
    <w:multiLevelType w:val="hybridMultilevel"/>
    <w:tmpl w:val="E5B6F8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754D1B"/>
    <w:multiLevelType w:val="hybridMultilevel"/>
    <w:tmpl w:val="7B481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52262"/>
    <w:multiLevelType w:val="hybridMultilevel"/>
    <w:tmpl w:val="A9B64E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250DA"/>
    <w:multiLevelType w:val="hybridMultilevel"/>
    <w:tmpl w:val="F6F6F3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B959DD"/>
    <w:multiLevelType w:val="hybridMultilevel"/>
    <w:tmpl w:val="78C46C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794B54"/>
    <w:multiLevelType w:val="hybridMultilevel"/>
    <w:tmpl w:val="58BC9F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0355305">
    <w:abstractNumId w:val="4"/>
  </w:num>
  <w:num w:numId="2" w16cid:durableId="555049282">
    <w:abstractNumId w:val="0"/>
  </w:num>
  <w:num w:numId="3" w16cid:durableId="1982610543">
    <w:abstractNumId w:val="2"/>
  </w:num>
  <w:num w:numId="4" w16cid:durableId="1022822128">
    <w:abstractNumId w:val="1"/>
  </w:num>
  <w:num w:numId="5" w16cid:durableId="1641381131">
    <w:abstractNumId w:val="3"/>
  </w:num>
  <w:num w:numId="6" w16cid:durableId="1967351203">
    <w:abstractNumId w:val="5"/>
  </w:num>
  <w:num w:numId="7" w16cid:durableId="1589997633">
    <w:abstractNumId w:val="6"/>
  </w:num>
  <w:num w:numId="8" w16cid:durableId="1244800905">
    <w:abstractNumId w:val="7"/>
  </w:num>
  <w:num w:numId="9" w16cid:durableId="1512571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61D9"/>
    <w:rsid w:val="0001321E"/>
    <w:rsid w:val="00015274"/>
    <w:rsid w:val="0001531E"/>
    <w:rsid w:val="00016290"/>
    <w:rsid w:val="000255B0"/>
    <w:rsid w:val="00044139"/>
    <w:rsid w:val="00057F54"/>
    <w:rsid w:val="00084221"/>
    <w:rsid w:val="000A2552"/>
    <w:rsid w:val="000C2C30"/>
    <w:rsid w:val="000C43DB"/>
    <w:rsid w:val="000D7339"/>
    <w:rsid w:val="000E427E"/>
    <w:rsid w:val="000F0B92"/>
    <w:rsid w:val="000F2A84"/>
    <w:rsid w:val="000F546E"/>
    <w:rsid w:val="001003CF"/>
    <w:rsid w:val="00106C6C"/>
    <w:rsid w:val="001175D2"/>
    <w:rsid w:val="001520CE"/>
    <w:rsid w:val="00156998"/>
    <w:rsid w:val="00157E64"/>
    <w:rsid w:val="00160B41"/>
    <w:rsid w:val="00171955"/>
    <w:rsid w:val="00176DE5"/>
    <w:rsid w:val="001817C9"/>
    <w:rsid w:val="00182A25"/>
    <w:rsid w:val="00182F7C"/>
    <w:rsid w:val="0018306C"/>
    <w:rsid w:val="00193531"/>
    <w:rsid w:val="00194693"/>
    <w:rsid w:val="001B40EF"/>
    <w:rsid w:val="001E19C9"/>
    <w:rsid w:val="00206490"/>
    <w:rsid w:val="00240AAA"/>
    <w:rsid w:val="0027120F"/>
    <w:rsid w:val="0027329D"/>
    <w:rsid w:val="00286BC4"/>
    <w:rsid w:val="00290153"/>
    <w:rsid w:val="00293F01"/>
    <w:rsid w:val="002C3A0A"/>
    <w:rsid w:val="002E6753"/>
    <w:rsid w:val="0030376C"/>
    <w:rsid w:val="00331728"/>
    <w:rsid w:val="00367682"/>
    <w:rsid w:val="00377A19"/>
    <w:rsid w:val="00396407"/>
    <w:rsid w:val="003C74F0"/>
    <w:rsid w:val="003D28BE"/>
    <w:rsid w:val="003F4D95"/>
    <w:rsid w:val="004069F6"/>
    <w:rsid w:val="00414F41"/>
    <w:rsid w:val="00442EBD"/>
    <w:rsid w:val="00445E56"/>
    <w:rsid w:val="0045420A"/>
    <w:rsid w:val="00473987"/>
    <w:rsid w:val="004A493D"/>
    <w:rsid w:val="004B34BB"/>
    <w:rsid w:val="004C4395"/>
    <w:rsid w:val="004E534F"/>
    <w:rsid w:val="004F791A"/>
    <w:rsid w:val="00504683"/>
    <w:rsid w:val="00507867"/>
    <w:rsid w:val="00507B27"/>
    <w:rsid w:val="00515034"/>
    <w:rsid w:val="005329D7"/>
    <w:rsid w:val="005377E5"/>
    <w:rsid w:val="005428ED"/>
    <w:rsid w:val="00546023"/>
    <w:rsid w:val="00565635"/>
    <w:rsid w:val="00565B3F"/>
    <w:rsid w:val="00571D71"/>
    <w:rsid w:val="005756AC"/>
    <w:rsid w:val="00595106"/>
    <w:rsid w:val="005B6EC7"/>
    <w:rsid w:val="005D03E9"/>
    <w:rsid w:val="005D60E5"/>
    <w:rsid w:val="005E154B"/>
    <w:rsid w:val="006170B5"/>
    <w:rsid w:val="00655E69"/>
    <w:rsid w:val="0066231E"/>
    <w:rsid w:val="006644B0"/>
    <w:rsid w:val="00693D0A"/>
    <w:rsid w:val="006A6D7E"/>
    <w:rsid w:val="006C07E3"/>
    <w:rsid w:val="006C6EED"/>
    <w:rsid w:val="006D1A53"/>
    <w:rsid w:val="006E144D"/>
    <w:rsid w:val="006E194D"/>
    <w:rsid w:val="006F0A66"/>
    <w:rsid w:val="006F1831"/>
    <w:rsid w:val="006F28DE"/>
    <w:rsid w:val="00705C06"/>
    <w:rsid w:val="00707420"/>
    <w:rsid w:val="00715488"/>
    <w:rsid w:val="007232AF"/>
    <w:rsid w:val="00744A6F"/>
    <w:rsid w:val="007612DB"/>
    <w:rsid w:val="00782C3E"/>
    <w:rsid w:val="00793B7D"/>
    <w:rsid w:val="007A2161"/>
    <w:rsid w:val="007E3768"/>
    <w:rsid w:val="007F0933"/>
    <w:rsid w:val="007F16BC"/>
    <w:rsid w:val="007F3FFA"/>
    <w:rsid w:val="00801EEA"/>
    <w:rsid w:val="00814304"/>
    <w:rsid w:val="00825AD9"/>
    <w:rsid w:val="00832DFE"/>
    <w:rsid w:val="00836B91"/>
    <w:rsid w:val="00860F9B"/>
    <w:rsid w:val="00864469"/>
    <w:rsid w:val="00884A9A"/>
    <w:rsid w:val="00884E70"/>
    <w:rsid w:val="00892A7C"/>
    <w:rsid w:val="008A0725"/>
    <w:rsid w:val="008A109B"/>
    <w:rsid w:val="008A7207"/>
    <w:rsid w:val="008C4684"/>
    <w:rsid w:val="008C55BD"/>
    <w:rsid w:val="008E239F"/>
    <w:rsid w:val="008F6BFA"/>
    <w:rsid w:val="008F7B1C"/>
    <w:rsid w:val="0091278B"/>
    <w:rsid w:val="009232E8"/>
    <w:rsid w:val="00946FB3"/>
    <w:rsid w:val="00965523"/>
    <w:rsid w:val="00967D21"/>
    <w:rsid w:val="00990AA6"/>
    <w:rsid w:val="009A324B"/>
    <w:rsid w:val="009A3D85"/>
    <w:rsid w:val="009A4AA4"/>
    <w:rsid w:val="009A5BD7"/>
    <w:rsid w:val="009B24E2"/>
    <w:rsid w:val="009C0376"/>
    <w:rsid w:val="009C2310"/>
    <w:rsid w:val="009C234B"/>
    <w:rsid w:val="009C27F3"/>
    <w:rsid w:val="009E01D9"/>
    <w:rsid w:val="009E0724"/>
    <w:rsid w:val="009E428A"/>
    <w:rsid w:val="00A0126E"/>
    <w:rsid w:val="00A048B6"/>
    <w:rsid w:val="00A17286"/>
    <w:rsid w:val="00A17D1B"/>
    <w:rsid w:val="00A22BCB"/>
    <w:rsid w:val="00A24093"/>
    <w:rsid w:val="00A547BE"/>
    <w:rsid w:val="00A64C0A"/>
    <w:rsid w:val="00A90FB0"/>
    <w:rsid w:val="00AC69E1"/>
    <w:rsid w:val="00B141B2"/>
    <w:rsid w:val="00B17438"/>
    <w:rsid w:val="00B17444"/>
    <w:rsid w:val="00B24C21"/>
    <w:rsid w:val="00B33F85"/>
    <w:rsid w:val="00B420E5"/>
    <w:rsid w:val="00B42848"/>
    <w:rsid w:val="00B430F1"/>
    <w:rsid w:val="00B431C7"/>
    <w:rsid w:val="00B45982"/>
    <w:rsid w:val="00B5353F"/>
    <w:rsid w:val="00B56DBE"/>
    <w:rsid w:val="00B6641D"/>
    <w:rsid w:val="00B675F4"/>
    <w:rsid w:val="00B90C5F"/>
    <w:rsid w:val="00BA48E5"/>
    <w:rsid w:val="00BA4AE2"/>
    <w:rsid w:val="00BC0CC0"/>
    <w:rsid w:val="00BE548A"/>
    <w:rsid w:val="00BF285E"/>
    <w:rsid w:val="00BF2F46"/>
    <w:rsid w:val="00BF430F"/>
    <w:rsid w:val="00C05921"/>
    <w:rsid w:val="00C12248"/>
    <w:rsid w:val="00C35B7E"/>
    <w:rsid w:val="00C50A12"/>
    <w:rsid w:val="00C73133"/>
    <w:rsid w:val="00CA2956"/>
    <w:rsid w:val="00CA33AD"/>
    <w:rsid w:val="00CA47CA"/>
    <w:rsid w:val="00CB7C00"/>
    <w:rsid w:val="00CC5797"/>
    <w:rsid w:val="00CD15B5"/>
    <w:rsid w:val="00CF036B"/>
    <w:rsid w:val="00CF702A"/>
    <w:rsid w:val="00D061AE"/>
    <w:rsid w:val="00D1044B"/>
    <w:rsid w:val="00D3042F"/>
    <w:rsid w:val="00D320B2"/>
    <w:rsid w:val="00D455CB"/>
    <w:rsid w:val="00D50696"/>
    <w:rsid w:val="00D56734"/>
    <w:rsid w:val="00D56A8C"/>
    <w:rsid w:val="00D61549"/>
    <w:rsid w:val="00D7336E"/>
    <w:rsid w:val="00D75392"/>
    <w:rsid w:val="00DA0E39"/>
    <w:rsid w:val="00DA494D"/>
    <w:rsid w:val="00DA72F4"/>
    <w:rsid w:val="00DA75D1"/>
    <w:rsid w:val="00DA7D8F"/>
    <w:rsid w:val="00DB22D0"/>
    <w:rsid w:val="00DB60A0"/>
    <w:rsid w:val="00DC1870"/>
    <w:rsid w:val="00DD6A44"/>
    <w:rsid w:val="00E031C5"/>
    <w:rsid w:val="00E25AAC"/>
    <w:rsid w:val="00E30703"/>
    <w:rsid w:val="00E3093D"/>
    <w:rsid w:val="00E32A58"/>
    <w:rsid w:val="00E32F03"/>
    <w:rsid w:val="00E3719E"/>
    <w:rsid w:val="00E440F2"/>
    <w:rsid w:val="00E533BD"/>
    <w:rsid w:val="00E55E92"/>
    <w:rsid w:val="00E73303"/>
    <w:rsid w:val="00E84E26"/>
    <w:rsid w:val="00EA18AB"/>
    <w:rsid w:val="00EA269B"/>
    <w:rsid w:val="00EA3946"/>
    <w:rsid w:val="00EC10B9"/>
    <w:rsid w:val="00EC167B"/>
    <w:rsid w:val="00ED61B2"/>
    <w:rsid w:val="00ED6CE9"/>
    <w:rsid w:val="00F06678"/>
    <w:rsid w:val="00F07241"/>
    <w:rsid w:val="00F21411"/>
    <w:rsid w:val="00F2311C"/>
    <w:rsid w:val="00F24DD4"/>
    <w:rsid w:val="00F27BE9"/>
    <w:rsid w:val="00F342C3"/>
    <w:rsid w:val="00F52BC1"/>
    <w:rsid w:val="00F548A5"/>
    <w:rsid w:val="00F60C6C"/>
    <w:rsid w:val="00F72030"/>
    <w:rsid w:val="00F9538E"/>
    <w:rsid w:val="00F95822"/>
    <w:rsid w:val="00FA42CC"/>
    <w:rsid w:val="00FB1774"/>
    <w:rsid w:val="00FB40F8"/>
    <w:rsid w:val="00FB7A20"/>
    <w:rsid w:val="00FC6E67"/>
    <w:rsid w:val="00FD5C22"/>
    <w:rsid w:val="00FF1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semiHidden/>
    <w:unhideWhenUsed/>
    <w:rsid w:val="00271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20F"/>
    <w:rPr>
      <w:color w:val="0000FF"/>
      <w:u w:val="single"/>
    </w:rPr>
  </w:style>
  <w:style w:type="character" w:customStyle="1" w:styleId="hgkelc">
    <w:name w:val="hgkelc"/>
    <w:basedOn w:val="Domylnaczcionkaakapitu"/>
    <w:rsid w:val="00E3719E"/>
  </w:style>
  <w:style w:type="character" w:styleId="Pogrubienie">
    <w:name w:val="Strong"/>
    <w:basedOn w:val="Domylnaczcionkaakapitu"/>
    <w:uiPriority w:val="22"/>
    <w:qFormat/>
    <w:rsid w:val="004C4395"/>
    <w:rPr>
      <w:b/>
      <w:bCs/>
    </w:rPr>
  </w:style>
  <w:style w:type="paragraph" w:styleId="Bezodstpw">
    <w:name w:val="No Spacing"/>
    <w:uiPriority w:val="1"/>
    <w:qFormat/>
    <w:rsid w:val="00F27BE9"/>
    <w:pPr>
      <w:spacing w:after="0" w:line="240" w:lineRule="auto"/>
    </w:pPr>
  </w:style>
  <w:style w:type="paragraph" w:customStyle="1" w:styleId="Textbody">
    <w:name w:val="Text body"/>
    <w:basedOn w:val="Normalny"/>
    <w:rsid w:val="00571D71"/>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D75392"/>
    <w:pPr>
      <w:spacing w:after="0" w:line="240" w:lineRule="auto"/>
      <w:ind w:left="720"/>
      <w:contextualSpacing/>
    </w:pPr>
    <w:rPr>
      <w:rFonts w:ascii="Calibri" w:hAnsi="Calibri" w:cs="Calibri"/>
      <w:lang w:eastAsia="pl-PL"/>
    </w:rPr>
  </w:style>
  <w:style w:type="character" w:styleId="Uwydatnienie">
    <w:name w:val="Emphasis"/>
    <w:basedOn w:val="Domylnaczcionkaakapitu"/>
    <w:uiPriority w:val="20"/>
    <w:qFormat/>
    <w:rsid w:val="000E427E"/>
    <w:rPr>
      <w:i/>
      <w:iCs/>
    </w:rPr>
  </w:style>
  <w:style w:type="character" w:styleId="Nierozpoznanawzmianka">
    <w:name w:val="Unresolved Mention"/>
    <w:basedOn w:val="Domylnaczcionkaakapitu"/>
    <w:uiPriority w:val="99"/>
    <w:semiHidden/>
    <w:unhideWhenUsed/>
    <w:rsid w:val="00E0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0992">
      <w:bodyDiv w:val="1"/>
      <w:marLeft w:val="0"/>
      <w:marRight w:val="0"/>
      <w:marTop w:val="0"/>
      <w:marBottom w:val="0"/>
      <w:divBdr>
        <w:top w:val="none" w:sz="0" w:space="0" w:color="auto"/>
        <w:left w:val="none" w:sz="0" w:space="0" w:color="auto"/>
        <w:bottom w:val="none" w:sz="0" w:space="0" w:color="auto"/>
        <w:right w:val="none" w:sz="0" w:space="0" w:color="auto"/>
      </w:divBdr>
      <w:divsChild>
        <w:div w:id="1339887090">
          <w:marLeft w:val="0"/>
          <w:marRight w:val="0"/>
          <w:marTop w:val="0"/>
          <w:marBottom w:val="0"/>
          <w:divBdr>
            <w:top w:val="none" w:sz="0" w:space="0" w:color="auto"/>
            <w:left w:val="none" w:sz="0" w:space="0" w:color="auto"/>
            <w:bottom w:val="none" w:sz="0" w:space="0" w:color="auto"/>
            <w:right w:val="none" w:sz="0" w:space="0" w:color="auto"/>
          </w:divBdr>
        </w:div>
      </w:divsChild>
    </w:div>
    <w:div w:id="516701629">
      <w:bodyDiv w:val="1"/>
      <w:marLeft w:val="0"/>
      <w:marRight w:val="0"/>
      <w:marTop w:val="0"/>
      <w:marBottom w:val="0"/>
      <w:divBdr>
        <w:top w:val="none" w:sz="0" w:space="0" w:color="auto"/>
        <w:left w:val="none" w:sz="0" w:space="0" w:color="auto"/>
        <w:bottom w:val="none" w:sz="0" w:space="0" w:color="auto"/>
        <w:right w:val="none" w:sz="0" w:space="0" w:color="auto"/>
      </w:divBdr>
    </w:div>
    <w:div w:id="558326127">
      <w:bodyDiv w:val="1"/>
      <w:marLeft w:val="0"/>
      <w:marRight w:val="0"/>
      <w:marTop w:val="0"/>
      <w:marBottom w:val="0"/>
      <w:divBdr>
        <w:top w:val="none" w:sz="0" w:space="0" w:color="auto"/>
        <w:left w:val="none" w:sz="0" w:space="0" w:color="auto"/>
        <w:bottom w:val="none" w:sz="0" w:space="0" w:color="auto"/>
        <w:right w:val="none" w:sz="0" w:space="0" w:color="auto"/>
      </w:divBdr>
    </w:div>
    <w:div w:id="569343889">
      <w:bodyDiv w:val="1"/>
      <w:marLeft w:val="0"/>
      <w:marRight w:val="0"/>
      <w:marTop w:val="0"/>
      <w:marBottom w:val="0"/>
      <w:divBdr>
        <w:top w:val="none" w:sz="0" w:space="0" w:color="auto"/>
        <w:left w:val="none" w:sz="0" w:space="0" w:color="auto"/>
        <w:bottom w:val="none" w:sz="0" w:space="0" w:color="auto"/>
        <w:right w:val="none" w:sz="0" w:space="0" w:color="auto"/>
      </w:divBdr>
    </w:div>
    <w:div w:id="893547580">
      <w:bodyDiv w:val="1"/>
      <w:marLeft w:val="0"/>
      <w:marRight w:val="0"/>
      <w:marTop w:val="0"/>
      <w:marBottom w:val="0"/>
      <w:divBdr>
        <w:top w:val="none" w:sz="0" w:space="0" w:color="auto"/>
        <w:left w:val="none" w:sz="0" w:space="0" w:color="auto"/>
        <w:bottom w:val="none" w:sz="0" w:space="0" w:color="auto"/>
        <w:right w:val="none" w:sz="0" w:space="0" w:color="auto"/>
      </w:divBdr>
    </w:div>
    <w:div w:id="914780853">
      <w:bodyDiv w:val="1"/>
      <w:marLeft w:val="0"/>
      <w:marRight w:val="0"/>
      <w:marTop w:val="0"/>
      <w:marBottom w:val="0"/>
      <w:divBdr>
        <w:top w:val="none" w:sz="0" w:space="0" w:color="auto"/>
        <w:left w:val="none" w:sz="0" w:space="0" w:color="auto"/>
        <w:bottom w:val="none" w:sz="0" w:space="0" w:color="auto"/>
        <w:right w:val="none" w:sz="0" w:space="0" w:color="auto"/>
      </w:divBdr>
    </w:div>
    <w:div w:id="1184631971">
      <w:bodyDiv w:val="1"/>
      <w:marLeft w:val="0"/>
      <w:marRight w:val="0"/>
      <w:marTop w:val="0"/>
      <w:marBottom w:val="0"/>
      <w:divBdr>
        <w:top w:val="none" w:sz="0" w:space="0" w:color="auto"/>
        <w:left w:val="none" w:sz="0" w:space="0" w:color="auto"/>
        <w:bottom w:val="none" w:sz="0" w:space="0" w:color="auto"/>
        <w:right w:val="none" w:sz="0" w:space="0" w:color="auto"/>
      </w:divBdr>
    </w:div>
    <w:div w:id="1260481873">
      <w:bodyDiv w:val="1"/>
      <w:marLeft w:val="0"/>
      <w:marRight w:val="0"/>
      <w:marTop w:val="0"/>
      <w:marBottom w:val="0"/>
      <w:divBdr>
        <w:top w:val="none" w:sz="0" w:space="0" w:color="auto"/>
        <w:left w:val="none" w:sz="0" w:space="0" w:color="auto"/>
        <w:bottom w:val="none" w:sz="0" w:space="0" w:color="auto"/>
        <w:right w:val="none" w:sz="0" w:space="0" w:color="auto"/>
      </w:divBdr>
    </w:div>
    <w:div w:id="13697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gdata.rynekpierwotn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478</Words>
  <Characters>2870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Mikołaj Ostrowski</cp:lastModifiedBy>
  <cp:revision>56</cp:revision>
  <cp:lastPrinted>2023-07-05T08:38:00Z</cp:lastPrinted>
  <dcterms:created xsi:type="dcterms:W3CDTF">2023-07-10T14:01:00Z</dcterms:created>
  <dcterms:modified xsi:type="dcterms:W3CDTF">2023-07-11T14:30:00Z</dcterms:modified>
</cp:coreProperties>
</file>